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87C37">
      <w:pPr>
        <w:rPr>
          <w:rFonts w:hint="eastAsia" w:ascii="黑体" w:hAnsi="黑体" w:eastAsia="黑体"/>
          <w:sz w:val="32"/>
          <w:szCs w:val="32"/>
        </w:rPr>
      </w:pPr>
    </w:p>
    <w:p w14:paraId="00D211B1">
      <w:pPr>
        <w:jc w:val="center"/>
        <w:rPr>
          <w:rFonts w:hint="eastAsia" w:ascii="方正小标宋_GBK" w:hAnsi="宋体" w:eastAsia="方正小标宋_GBK"/>
          <w:sz w:val="44"/>
          <w:szCs w:val="44"/>
        </w:rPr>
      </w:pPr>
    </w:p>
    <w:p w14:paraId="15FD604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木垒哈萨克自治县技工学校</w:t>
      </w:r>
    </w:p>
    <w:p w14:paraId="34629D3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636392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93AAFF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B7E9550">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233096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AFDCC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59486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DFEDA8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5137F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81442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C3671D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FB9464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1C8F1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4EC26F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29F45D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346415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94554F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3DA32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4C0A7F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DF7D80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827CB6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9B30B1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4BDD8B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2307A8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8D9DC9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8F092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03500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C62FC9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C7FE3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156D0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A8E72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5BD13F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1B39224">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0FA5DBF">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FEB4D17">
      <w:r>
        <w:rPr>
          <w:rFonts w:hint="eastAsia" w:ascii="仿宋_GB2312" w:hAnsi="仿宋_GB2312" w:eastAsia="仿宋_GB2312" w:cs="仿宋_GB2312"/>
          <w:sz w:val="32"/>
          <w:szCs w:val="32"/>
        </w:rPr>
        <w:fldChar w:fldCharType="end"/>
      </w:r>
    </w:p>
    <w:p w14:paraId="60F949FD">
      <w:pPr>
        <w:rPr>
          <w:rFonts w:ascii="仿宋_GB2312" w:eastAsia="仿宋_GB2312"/>
          <w:sz w:val="32"/>
          <w:szCs w:val="32"/>
        </w:rPr>
      </w:pPr>
      <w:r>
        <w:rPr>
          <w:rFonts w:hint="eastAsia" w:ascii="仿宋_GB2312" w:eastAsia="仿宋_GB2312"/>
          <w:sz w:val="32"/>
          <w:szCs w:val="32"/>
        </w:rPr>
        <w:br w:type="page"/>
      </w:r>
    </w:p>
    <w:p w14:paraId="5698588F">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2D8A4423">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C64B28E">
      <w:pPr>
        <w:ind w:firstLine="640" w:firstLineChars="200"/>
        <w:jc w:val="left"/>
        <w:rPr>
          <w:rFonts w:ascii="仿宋_GB2312" w:eastAsia="仿宋_GB2312"/>
          <w:sz w:val="32"/>
          <w:szCs w:val="32"/>
        </w:rPr>
      </w:pPr>
      <w:r>
        <w:rPr>
          <w:rFonts w:hint="eastAsia" w:ascii="仿宋_GB2312" w:eastAsia="仿宋_GB2312"/>
          <w:sz w:val="32"/>
          <w:szCs w:val="32"/>
        </w:rPr>
        <w:t>木垒哈萨克自治县技工学校主要</w:t>
      </w:r>
      <w:r>
        <w:rPr>
          <w:rFonts w:hint="eastAsia" w:ascii="仿宋_GB2312" w:eastAsia="仿宋_GB2312"/>
          <w:sz w:val="32"/>
          <w:szCs w:val="32"/>
          <w:lang w:val="en-US" w:eastAsia="zh-CN"/>
        </w:rPr>
        <w:t>是</w:t>
      </w:r>
      <w:r>
        <w:rPr>
          <w:rFonts w:hint="eastAsia" w:ascii="仿宋_GB2312" w:eastAsia="仿宋_GB2312"/>
          <w:sz w:val="32"/>
          <w:szCs w:val="32"/>
        </w:rPr>
        <w:t>根据产业发展的需求，对常住农村</w:t>
      </w:r>
      <w:r>
        <w:rPr>
          <w:rFonts w:hint="eastAsia" w:ascii="仿宋_GB2312" w:eastAsia="仿宋_GB2312"/>
          <w:sz w:val="32"/>
          <w:szCs w:val="32"/>
          <w:lang w:eastAsia="zh-CN"/>
        </w:rPr>
        <w:t>劳动</w:t>
      </w:r>
      <w:r>
        <w:rPr>
          <w:rFonts w:hint="eastAsia" w:ascii="仿宋_GB2312" w:eastAsia="仿宋_GB2312"/>
          <w:sz w:val="32"/>
          <w:szCs w:val="32"/>
        </w:rPr>
        <w:t>力开展培训。建立适合区域经济社会发展新形势的社会培训体系，与学校、企业合作开展培训，提高社会职业素养，培养技能人才。</w:t>
      </w:r>
    </w:p>
    <w:p w14:paraId="2E22C223">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67E764F">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木垒哈萨克自治县技工学校2023年度，实有人数</w:t>
      </w:r>
      <w:r>
        <w:rPr>
          <w:rFonts w:hint="eastAsia" w:ascii="仿宋_GB2312" w:eastAsia="仿宋_GB2312"/>
          <w:sz w:val="32"/>
          <w:szCs w:val="32"/>
          <w:lang w:val="zh-CN"/>
        </w:rPr>
        <w:t>14</w:t>
      </w:r>
      <w:r>
        <w:rPr>
          <w:rFonts w:hint="eastAsia" w:ascii="仿宋_GB2312" w:eastAsia="仿宋_GB2312"/>
          <w:sz w:val="32"/>
          <w:szCs w:val="32"/>
        </w:rPr>
        <w:t>人，其中：在职人员</w:t>
      </w:r>
      <w:r>
        <w:rPr>
          <w:rFonts w:hint="eastAsia" w:ascii="仿宋_GB2312" w:eastAsia="仿宋_GB2312"/>
          <w:sz w:val="32"/>
          <w:szCs w:val="32"/>
          <w:lang w:val="zh-CN"/>
        </w:rPr>
        <w:t>13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w:t>
      </w:r>
      <w:r>
        <w:rPr>
          <w:rFonts w:hint="eastAsia" w:ascii="仿宋_GB2312" w:eastAsia="仿宋_GB2312"/>
          <w:sz w:val="32"/>
          <w:szCs w:val="32"/>
        </w:rPr>
        <w:t>人。</w:t>
      </w:r>
    </w:p>
    <w:p w14:paraId="2CAF46CF">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黑体" w:eastAsia="仿宋_GB2312"/>
          <w:kern w:val="0"/>
          <w:sz w:val="32"/>
        </w:rPr>
        <w:t>行政办公室、教务室、招生就业室、安保办公室</w:t>
      </w:r>
      <w:r>
        <w:rPr>
          <w:rFonts w:hint="eastAsia" w:ascii="仿宋_GB2312" w:hAnsi="宋体" w:eastAsia="仿宋_GB2312" w:cs="宋体"/>
          <w:kern w:val="0"/>
          <w:sz w:val="32"/>
          <w:szCs w:val="32"/>
        </w:rPr>
        <w:t>。</w:t>
      </w:r>
    </w:p>
    <w:p w14:paraId="19A88397">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70CCEBEE">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083EC85">
      <w:pPr>
        <w:ind w:firstLine="640" w:firstLineChars="200"/>
        <w:jc w:val="left"/>
        <w:rPr>
          <w:rFonts w:ascii="仿宋_GB2312" w:eastAsia="仿宋_GB2312"/>
          <w:sz w:val="32"/>
          <w:szCs w:val="32"/>
        </w:rPr>
      </w:pPr>
      <w:r>
        <w:rPr>
          <w:rFonts w:hint="eastAsia" w:ascii="仿宋_GB2312" w:eastAsia="仿宋_GB2312"/>
          <w:sz w:val="32"/>
          <w:szCs w:val="32"/>
        </w:rPr>
        <w:t>2023年度收入总计602.80万元，其中：本年收入合计551.70万元，使用非财政拨款结余0.00万元，年初结转和结余51.09万元。</w:t>
      </w:r>
    </w:p>
    <w:p w14:paraId="601562E3">
      <w:pPr>
        <w:ind w:firstLine="640" w:firstLineChars="200"/>
        <w:jc w:val="left"/>
        <w:rPr>
          <w:rFonts w:ascii="仿宋_GB2312" w:eastAsia="仿宋_GB2312"/>
          <w:sz w:val="32"/>
          <w:szCs w:val="32"/>
        </w:rPr>
      </w:pPr>
      <w:r>
        <w:rPr>
          <w:rFonts w:hint="eastAsia" w:ascii="仿宋_GB2312" w:eastAsia="仿宋_GB2312"/>
          <w:sz w:val="32"/>
          <w:szCs w:val="32"/>
        </w:rPr>
        <w:t>2023年度支出总计602.80万元，其中：本年支出合计520.60万元，结余分配0.00万元，年末结转和结余82.20万元。</w:t>
      </w:r>
    </w:p>
    <w:p w14:paraId="2F7F7DA0">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增加156.62万元</w:t>
      </w:r>
      <w:r>
        <w:rPr>
          <w:rFonts w:hint="eastAsia" w:ascii="仿宋_GB2312" w:eastAsia="仿宋_GB2312"/>
          <w:sz w:val="32"/>
          <w:szCs w:val="32"/>
        </w:rPr>
        <w:t>，增长35.10%，主要原因是：我单位2023年增加教职工2人，工资、</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相关人员经费</w:t>
      </w:r>
      <w:r>
        <w:rPr>
          <w:rFonts w:hint="eastAsia" w:ascii="仿宋_GB2312" w:eastAsia="仿宋_GB2312"/>
          <w:sz w:val="32"/>
          <w:szCs w:val="32"/>
        </w:rPr>
        <w:t>增加。</w:t>
      </w:r>
    </w:p>
    <w:p w14:paraId="49033C4A">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1C2CC292">
      <w:pPr>
        <w:ind w:firstLine="640" w:firstLineChars="200"/>
        <w:jc w:val="left"/>
        <w:rPr>
          <w:rFonts w:ascii="仿宋_GB2312" w:eastAsia="仿宋_GB2312"/>
          <w:sz w:val="32"/>
          <w:szCs w:val="32"/>
        </w:rPr>
      </w:pPr>
      <w:r>
        <w:rPr>
          <w:rFonts w:hint="eastAsia" w:ascii="仿宋_GB2312" w:eastAsia="仿宋_GB2312"/>
          <w:sz w:val="32"/>
          <w:szCs w:val="32"/>
        </w:rPr>
        <w:t>本年收入551.70万元，其中：财政拨款收入</w:t>
      </w:r>
      <w:r>
        <w:rPr>
          <w:rFonts w:hint="eastAsia" w:ascii="仿宋_GB2312" w:eastAsia="仿宋_GB2312"/>
          <w:sz w:val="32"/>
          <w:szCs w:val="32"/>
          <w:lang w:val="zh-CN"/>
        </w:rPr>
        <w:t>287.60</w:t>
      </w:r>
      <w:r>
        <w:rPr>
          <w:rFonts w:hint="eastAsia" w:ascii="仿宋_GB2312" w:eastAsia="仿宋_GB2312"/>
          <w:sz w:val="32"/>
          <w:szCs w:val="32"/>
        </w:rPr>
        <w:t>万元，占</w:t>
      </w:r>
      <w:r>
        <w:rPr>
          <w:rFonts w:hint="eastAsia" w:ascii="仿宋_GB2312" w:eastAsia="仿宋_GB2312"/>
          <w:sz w:val="32"/>
          <w:szCs w:val="32"/>
          <w:lang w:val="zh-CN"/>
        </w:rPr>
        <w:t>52.13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264.11</w:t>
      </w:r>
      <w:r>
        <w:rPr>
          <w:rFonts w:hint="eastAsia" w:ascii="仿宋_GB2312" w:eastAsia="仿宋_GB2312"/>
          <w:sz w:val="32"/>
          <w:szCs w:val="32"/>
        </w:rPr>
        <w:t>万元，占</w:t>
      </w:r>
      <w:r>
        <w:rPr>
          <w:rFonts w:hint="eastAsia" w:ascii="仿宋_GB2312" w:eastAsia="仿宋_GB2312"/>
          <w:sz w:val="32"/>
          <w:szCs w:val="32"/>
          <w:lang w:val="zh-CN"/>
        </w:rPr>
        <w:t>47.87</w:t>
      </w:r>
      <w:r>
        <w:rPr>
          <w:rFonts w:hint="eastAsia" w:ascii="仿宋_GB2312" w:eastAsia="仿宋_GB2312"/>
          <w:sz w:val="32"/>
          <w:szCs w:val="32"/>
        </w:rPr>
        <w:t>%。</w:t>
      </w:r>
    </w:p>
    <w:p w14:paraId="7C310CCA">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0C4929B">
      <w:pPr>
        <w:ind w:firstLine="640" w:firstLineChars="200"/>
        <w:jc w:val="left"/>
        <w:rPr>
          <w:rFonts w:ascii="仿宋_GB2312" w:eastAsia="仿宋_GB2312"/>
          <w:sz w:val="32"/>
          <w:szCs w:val="32"/>
        </w:rPr>
      </w:pPr>
      <w:r>
        <w:rPr>
          <w:rFonts w:hint="eastAsia" w:ascii="仿宋_GB2312" w:eastAsia="仿宋_GB2312"/>
          <w:sz w:val="32"/>
          <w:szCs w:val="32"/>
        </w:rPr>
        <w:t>本年支出520.60万元，其中：基本支出520.60万元，占100.00%；项目支出0.00万元，占0.00%；上缴上级支出0.00万元，占0.00%；经营支出0.00万元，占0.00%；对附属单位补助支出0.00万元，占0.00%。</w:t>
      </w:r>
    </w:p>
    <w:p w14:paraId="1038E31B">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16D4F62">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287.60</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287.60</w:t>
      </w:r>
      <w:r>
        <w:rPr>
          <w:rFonts w:hint="eastAsia" w:ascii="仿宋_GB2312" w:eastAsia="仿宋_GB2312"/>
          <w:sz w:val="32"/>
          <w:szCs w:val="32"/>
        </w:rPr>
        <w:t>万元。财政拨款支出总计</w:t>
      </w:r>
      <w:r>
        <w:rPr>
          <w:rFonts w:hint="eastAsia" w:ascii="仿宋_GB2312" w:eastAsia="仿宋_GB2312"/>
          <w:sz w:val="32"/>
          <w:szCs w:val="32"/>
          <w:lang w:val="zh-CN"/>
        </w:rPr>
        <w:t>287.60</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287.60</w:t>
      </w:r>
      <w:r>
        <w:rPr>
          <w:rFonts w:hint="eastAsia" w:ascii="仿宋_GB2312" w:eastAsia="仿宋_GB2312"/>
          <w:sz w:val="32"/>
          <w:szCs w:val="32"/>
        </w:rPr>
        <w:t>万元。</w:t>
      </w:r>
    </w:p>
    <w:p w14:paraId="098B605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增加95.69万元</w:t>
      </w:r>
      <w:r>
        <w:rPr>
          <w:rFonts w:hint="eastAsia" w:ascii="仿宋_GB2312" w:eastAsia="仿宋_GB2312"/>
          <w:sz w:val="32"/>
          <w:szCs w:val="32"/>
        </w:rPr>
        <w:t>，增长49.86%,主要原因是：我单位2023年增加教职工2人，工资、</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相关人员经费</w:t>
      </w:r>
      <w:r>
        <w:rPr>
          <w:rFonts w:hint="eastAsia" w:ascii="仿宋_GB2312" w:eastAsia="仿宋_GB2312"/>
          <w:sz w:val="32"/>
          <w:szCs w:val="32"/>
        </w:rPr>
        <w:t>增加。与年初预算相比，年初预算数</w:t>
      </w:r>
      <w:r>
        <w:rPr>
          <w:rFonts w:hint="eastAsia" w:ascii="仿宋_GB2312" w:eastAsia="仿宋_GB2312"/>
          <w:sz w:val="32"/>
          <w:szCs w:val="32"/>
          <w:lang w:val="zh-CN"/>
        </w:rPr>
        <w:t>245.86</w:t>
      </w:r>
      <w:r>
        <w:rPr>
          <w:rFonts w:hint="eastAsia" w:ascii="仿宋_GB2312" w:eastAsia="仿宋_GB2312"/>
          <w:sz w:val="32"/>
          <w:szCs w:val="32"/>
        </w:rPr>
        <w:t>万元，决算数</w:t>
      </w:r>
      <w:r>
        <w:rPr>
          <w:rFonts w:hint="eastAsia" w:ascii="仿宋_GB2312" w:eastAsia="仿宋_GB2312"/>
          <w:sz w:val="32"/>
          <w:szCs w:val="32"/>
          <w:lang w:val="zh-CN"/>
        </w:rPr>
        <w:t>287.60</w:t>
      </w:r>
      <w:r>
        <w:rPr>
          <w:rFonts w:hint="eastAsia" w:ascii="仿宋_GB2312" w:eastAsia="仿宋_GB2312"/>
          <w:sz w:val="32"/>
          <w:szCs w:val="32"/>
        </w:rPr>
        <w:t>万元，预决算差异率16.98%，主要原因是：我单位2023年增加教职工2人，</w:t>
      </w:r>
      <w:r>
        <w:rPr>
          <w:rFonts w:hint="eastAsia" w:ascii="仿宋_GB2312" w:eastAsia="仿宋_GB2312"/>
          <w:sz w:val="32"/>
          <w:szCs w:val="32"/>
          <w:lang w:val="en-US" w:eastAsia="zh-CN"/>
        </w:rPr>
        <w:t>年中追加</w:t>
      </w:r>
      <w:r>
        <w:rPr>
          <w:rFonts w:hint="eastAsia" w:ascii="仿宋_GB2312" w:eastAsia="仿宋_GB2312"/>
          <w:sz w:val="32"/>
          <w:szCs w:val="32"/>
        </w:rPr>
        <w:t>工资、</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相关人员经费</w:t>
      </w:r>
      <w:r>
        <w:rPr>
          <w:rFonts w:hint="eastAsia" w:ascii="仿宋_GB2312" w:eastAsia="仿宋_GB2312"/>
          <w:sz w:val="32"/>
          <w:szCs w:val="32"/>
        </w:rPr>
        <w:t>。</w:t>
      </w:r>
    </w:p>
    <w:p w14:paraId="42FCDED3">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79FD14F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D1A89D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2023年度一般公共预算财政拨款支出287.60万元，占本年支出合计的</w:t>
      </w:r>
      <w:r>
        <w:rPr>
          <w:rFonts w:hint="eastAsia" w:ascii="仿宋_GB2312" w:eastAsia="仿宋_GB2312"/>
          <w:sz w:val="32"/>
          <w:szCs w:val="32"/>
          <w:lang w:val="zh-CN"/>
        </w:rPr>
        <w:t>55.24%</w:t>
      </w:r>
      <w:r>
        <w:rPr>
          <w:rFonts w:hint="eastAsia" w:ascii="仿宋_GB2312" w:eastAsia="仿宋_GB2312"/>
          <w:sz w:val="32"/>
          <w:szCs w:val="32"/>
        </w:rPr>
        <w:t>。与上年相比，</w:t>
      </w:r>
      <w:r>
        <w:rPr>
          <w:rFonts w:hint="eastAsia" w:ascii="仿宋_GB2312" w:eastAsia="仿宋_GB2312"/>
          <w:sz w:val="32"/>
          <w:szCs w:val="32"/>
          <w:lang w:val="zh-CN"/>
        </w:rPr>
        <w:t>增加95.69万元</w:t>
      </w:r>
      <w:r>
        <w:rPr>
          <w:rFonts w:hint="eastAsia" w:ascii="仿宋_GB2312" w:eastAsia="仿宋_GB2312"/>
          <w:sz w:val="32"/>
          <w:szCs w:val="32"/>
        </w:rPr>
        <w:t>，增长49.86%,主要原因是：我单位2023年增加教职工2人，工资、</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相关人员经费</w:t>
      </w:r>
      <w:r>
        <w:rPr>
          <w:rFonts w:hint="eastAsia" w:ascii="仿宋_GB2312" w:eastAsia="仿宋_GB2312"/>
          <w:sz w:val="32"/>
          <w:szCs w:val="32"/>
        </w:rPr>
        <w:t>增加。与年初预算相比，年初预算数</w:t>
      </w:r>
      <w:r>
        <w:rPr>
          <w:rFonts w:hint="eastAsia" w:ascii="仿宋_GB2312" w:eastAsia="仿宋_GB2312"/>
          <w:sz w:val="32"/>
          <w:szCs w:val="32"/>
          <w:lang w:val="zh-CN"/>
        </w:rPr>
        <w:t>245.86</w:t>
      </w:r>
      <w:r>
        <w:rPr>
          <w:rFonts w:hint="eastAsia" w:ascii="仿宋_GB2312" w:eastAsia="仿宋_GB2312"/>
          <w:sz w:val="32"/>
          <w:szCs w:val="32"/>
        </w:rPr>
        <w:t>万元，决算数</w:t>
      </w:r>
      <w:r>
        <w:rPr>
          <w:rFonts w:hint="eastAsia" w:ascii="仿宋_GB2312" w:eastAsia="仿宋_GB2312"/>
          <w:sz w:val="32"/>
          <w:szCs w:val="32"/>
          <w:lang w:val="zh-CN"/>
        </w:rPr>
        <w:t>287.60</w:t>
      </w:r>
      <w:r>
        <w:rPr>
          <w:rFonts w:hint="eastAsia" w:ascii="仿宋_GB2312" w:eastAsia="仿宋_GB2312"/>
          <w:sz w:val="32"/>
          <w:szCs w:val="32"/>
        </w:rPr>
        <w:t>万元，预决算差异率</w:t>
      </w:r>
      <w:r>
        <w:rPr>
          <w:rFonts w:hint="eastAsia" w:ascii="仿宋_GB2312" w:eastAsia="仿宋_GB2312"/>
          <w:sz w:val="32"/>
          <w:szCs w:val="32"/>
          <w:lang w:val="zh-CN"/>
        </w:rPr>
        <w:t>16.98%</w:t>
      </w:r>
      <w:r>
        <w:rPr>
          <w:rFonts w:hint="eastAsia" w:ascii="仿宋_GB2312" w:eastAsia="仿宋_GB2312"/>
          <w:sz w:val="32"/>
          <w:szCs w:val="32"/>
        </w:rPr>
        <w:t>，主要原因是：我单位2023年增加教职工2人，</w:t>
      </w:r>
      <w:r>
        <w:rPr>
          <w:rFonts w:hint="eastAsia" w:ascii="仿宋_GB2312" w:eastAsia="仿宋_GB2312"/>
          <w:sz w:val="32"/>
          <w:szCs w:val="32"/>
          <w:lang w:val="en-US" w:eastAsia="zh-CN"/>
        </w:rPr>
        <w:t>年中追加</w:t>
      </w:r>
      <w:r>
        <w:rPr>
          <w:rFonts w:hint="eastAsia" w:ascii="仿宋_GB2312" w:eastAsia="仿宋_GB2312"/>
          <w:sz w:val="32"/>
          <w:szCs w:val="32"/>
        </w:rPr>
        <w:t>工资、</w:t>
      </w:r>
      <w:r>
        <w:rPr>
          <w:rFonts w:hint="eastAsia" w:ascii="仿宋_GB2312" w:eastAsia="仿宋_GB2312"/>
          <w:sz w:val="32"/>
          <w:szCs w:val="32"/>
          <w:lang w:val="en-US" w:eastAsia="zh-CN"/>
        </w:rPr>
        <w:t>津贴补贴、奖金</w:t>
      </w:r>
      <w:r>
        <w:rPr>
          <w:rFonts w:hint="eastAsia" w:ascii="仿宋_GB2312" w:eastAsia="仿宋_GB2312"/>
          <w:sz w:val="32"/>
          <w:szCs w:val="32"/>
        </w:rPr>
        <w:t>等</w:t>
      </w:r>
      <w:r>
        <w:rPr>
          <w:rFonts w:hint="eastAsia" w:ascii="仿宋_GB2312" w:eastAsia="仿宋_GB2312"/>
          <w:sz w:val="32"/>
          <w:szCs w:val="32"/>
          <w:lang w:val="en-US" w:eastAsia="zh-CN"/>
        </w:rPr>
        <w:t>相关人员经费</w:t>
      </w:r>
      <w:r>
        <w:rPr>
          <w:rFonts w:hint="eastAsia" w:ascii="仿宋_GB2312" w:eastAsia="仿宋_GB2312"/>
          <w:sz w:val="32"/>
          <w:szCs w:val="32"/>
        </w:rPr>
        <w:t>。</w:t>
      </w:r>
    </w:p>
    <w:p w14:paraId="7E27FBC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EF25A4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1.教育支出（类）</w:t>
      </w:r>
      <w:r>
        <w:rPr>
          <w:rFonts w:hint="eastAsia" w:ascii="仿宋_GB2312" w:eastAsia="仿宋_GB2312"/>
          <w:kern w:val="2"/>
          <w:sz w:val="32"/>
          <w:szCs w:val="32"/>
          <w:lang w:val="zh-CN"/>
        </w:rPr>
        <w:t>230.82</w:t>
      </w:r>
      <w:r>
        <w:rPr>
          <w:rFonts w:ascii="仿宋_GB2312" w:eastAsia="仿宋_GB2312"/>
          <w:kern w:val="2"/>
          <w:sz w:val="32"/>
          <w:szCs w:val="32"/>
          <w:lang w:val="zh-CN"/>
        </w:rPr>
        <w:t>万元，占</w:t>
      </w:r>
      <w:r>
        <w:rPr>
          <w:rFonts w:hint="eastAsia" w:ascii="仿宋_GB2312" w:eastAsia="仿宋_GB2312"/>
          <w:kern w:val="2"/>
          <w:sz w:val="32"/>
          <w:szCs w:val="32"/>
          <w:lang w:val="zh-CN"/>
        </w:rPr>
        <w:t>80.26</w:t>
      </w:r>
      <w:r>
        <w:rPr>
          <w:rFonts w:ascii="仿宋_GB2312" w:eastAsia="仿宋_GB2312"/>
          <w:kern w:val="2"/>
          <w:sz w:val="32"/>
          <w:szCs w:val="32"/>
          <w:lang w:val="zh-CN"/>
        </w:rPr>
        <w:t>%；</w:t>
      </w:r>
    </w:p>
    <w:p w14:paraId="127D578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35.98</w:t>
      </w:r>
      <w:r>
        <w:rPr>
          <w:rFonts w:ascii="仿宋_GB2312" w:eastAsia="仿宋_GB2312"/>
          <w:kern w:val="2"/>
          <w:sz w:val="32"/>
          <w:szCs w:val="32"/>
          <w:lang w:val="zh-CN"/>
        </w:rPr>
        <w:t>万元，占</w:t>
      </w:r>
      <w:r>
        <w:rPr>
          <w:rFonts w:hint="eastAsia" w:ascii="仿宋_GB2312" w:eastAsia="仿宋_GB2312"/>
          <w:kern w:val="2"/>
          <w:sz w:val="32"/>
          <w:szCs w:val="32"/>
          <w:lang w:val="zh-CN"/>
        </w:rPr>
        <w:t>12.51</w:t>
      </w:r>
      <w:r>
        <w:rPr>
          <w:rFonts w:ascii="仿宋_GB2312" w:eastAsia="仿宋_GB2312"/>
          <w:kern w:val="2"/>
          <w:sz w:val="32"/>
          <w:szCs w:val="32"/>
          <w:lang w:val="zh-CN"/>
        </w:rPr>
        <w:t>%；</w:t>
      </w:r>
    </w:p>
    <w:p w14:paraId="6D94207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20.80</w:t>
      </w:r>
      <w:r>
        <w:rPr>
          <w:rFonts w:ascii="仿宋_GB2312" w:eastAsia="仿宋_GB2312"/>
          <w:kern w:val="2"/>
          <w:sz w:val="32"/>
          <w:szCs w:val="32"/>
          <w:lang w:val="zh-CN"/>
        </w:rPr>
        <w:t>万元，占</w:t>
      </w:r>
      <w:r>
        <w:rPr>
          <w:rFonts w:hint="eastAsia" w:ascii="仿宋_GB2312" w:eastAsia="仿宋_GB2312"/>
          <w:kern w:val="2"/>
          <w:sz w:val="32"/>
          <w:szCs w:val="32"/>
          <w:lang w:val="zh-CN"/>
        </w:rPr>
        <w:t>7.23</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66AFA06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AA9310F">
      <w:pPr>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1.住房保障支出（类）住房改革支出（款）住房公积金（项）:支出决算数为20.80万元，比上年决算增加6.9</w:t>
      </w:r>
      <w:r>
        <w:rPr>
          <w:rFonts w:hint="eastAsia" w:ascii="仿宋_GB2312" w:eastAsia="仿宋_GB2312"/>
          <w:sz w:val="32"/>
          <w:szCs w:val="32"/>
          <w:lang w:val="en-US" w:eastAsia="zh-CN"/>
        </w:rPr>
        <w:t>0</w:t>
      </w:r>
      <w:r>
        <w:rPr>
          <w:rFonts w:hint="eastAsia" w:ascii="仿宋_GB2312" w:eastAsia="仿宋_GB2312"/>
          <w:sz w:val="32"/>
          <w:szCs w:val="32"/>
        </w:rPr>
        <w:t>万元，增长49.</w:t>
      </w:r>
      <w:r>
        <w:rPr>
          <w:rFonts w:hint="eastAsia" w:ascii="仿宋_GB2312" w:eastAsia="仿宋_GB2312"/>
          <w:sz w:val="32"/>
          <w:szCs w:val="32"/>
          <w:lang w:val="en-US" w:eastAsia="zh-CN"/>
        </w:rPr>
        <w:t>64</w:t>
      </w:r>
      <w:r>
        <w:rPr>
          <w:rFonts w:hint="eastAsia" w:ascii="仿宋_GB2312" w:eastAsia="仿宋_GB2312"/>
          <w:sz w:val="32"/>
          <w:szCs w:val="32"/>
        </w:rPr>
        <w:t>%，主要原因是：本年单位人员增加，人员公积金缴费增加。</w:t>
      </w:r>
    </w:p>
    <w:p w14:paraId="47CBFBA5">
      <w:pPr>
        <w:ind w:firstLine="640" w:firstLineChars="200"/>
        <w:jc w:val="left"/>
        <w:rPr>
          <w:rFonts w:ascii="仿宋_GB2312" w:eastAsia="仿宋_GB2312"/>
          <w:sz w:val="32"/>
          <w:szCs w:val="32"/>
        </w:rPr>
      </w:pPr>
      <w:r>
        <w:rPr>
          <w:rFonts w:hint="eastAsia" w:ascii="仿宋_GB2312" w:eastAsia="仿宋_GB2312"/>
          <w:sz w:val="32"/>
          <w:szCs w:val="32"/>
        </w:rPr>
        <w:t>2.教育支出（类）职业教育（款）其他职业教育支出（项）:支出决算数为5.55万元，比上年决算增加5.55万元，增长100%，主要原因是：本年功能科目调整，此科目经费</w:t>
      </w:r>
      <w:r>
        <w:rPr>
          <w:rFonts w:hint="eastAsia" w:ascii="仿宋_GB2312" w:eastAsia="仿宋_GB2312"/>
          <w:sz w:val="32"/>
          <w:szCs w:val="32"/>
          <w:lang w:val="en-US" w:eastAsia="zh-CN"/>
        </w:rPr>
        <w:t>上年在主款科目反映，</w:t>
      </w:r>
      <w:r>
        <w:rPr>
          <w:rFonts w:hint="eastAsia" w:ascii="仿宋_GB2312" w:eastAsia="仿宋_GB2312"/>
          <w:sz w:val="32"/>
          <w:szCs w:val="32"/>
        </w:rPr>
        <w:t>本年</w:t>
      </w:r>
      <w:r>
        <w:rPr>
          <w:rFonts w:hint="eastAsia" w:ascii="仿宋_GB2312" w:eastAsia="仿宋_GB2312"/>
          <w:sz w:val="32"/>
          <w:szCs w:val="32"/>
          <w:lang w:val="en-US" w:eastAsia="zh-CN"/>
        </w:rPr>
        <w:t>单独</w:t>
      </w:r>
      <w:r>
        <w:rPr>
          <w:rFonts w:hint="eastAsia" w:ascii="仿宋_GB2312" w:eastAsia="仿宋_GB2312"/>
          <w:sz w:val="32"/>
          <w:szCs w:val="32"/>
        </w:rPr>
        <w:t>核算，导致此经费</w:t>
      </w:r>
      <w:r>
        <w:rPr>
          <w:rFonts w:hint="eastAsia" w:ascii="仿宋_GB2312" w:eastAsia="仿宋_GB2312"/>
          <w:sz w:val="32"/>
          <w:szCs w:val="32"/>
          <w:lang w:val="en-US" w:eastAsia="zh-CN"/>
        </w:rPr>
        <w:t>增加</w:t>
      </w:r>
      <w:r>
        <w:rPr>
          <w:rFonts w:hint="eastAsia" w:ascii="仿宋_GB2312" w:eastAsia="仿宋_GB2312"/>
          <w:sz w:val="32"/>
          <w:szCs w:val="32"/>
        </w:rPr>
        <w:t>。</w:t>
      </w:r>
    </w:p>
    <w:p w14:paraId="7781B1B2">
      <w:pPr>
        <w:ind w:firstLine="640" w:firstLineChars="200"/>
        <w:jc w:val="left"/>
        <w:rPr>
          <w:rFonts w:ascii="仿宋_GB2312" w:eastAsia="仿宋_GB2312"/>
          <w:sz w:val="32"/>
          <w:szCs w:val="32"/>
        </w:rPr>
      </w:pPr>
      <w:r>
        <w:rPr>
          <w:rFonts w:hint="eastAsia" w:ascii="仿宋_GB2312" w:eastAsia="仿宋_GB2312"/>
          <w:sz w:val="32"/>
          <w:szCs w:val="32"/>
        </w:rPr>
        <w:t>3.教育支出（类）职业教育（款）技校教育（项）:支出决算数为225.27万元，比上年决算增加78.88万元，增长53.88%，主要原因是：本年单位人员增加，人员工资、津补贴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人员经费增加。</w:t>
      </w:r>
    </w:p>
    <w:p w14:paraId="458AE1D0">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4.社会保障和就业支出（类）行政事业单位养老支出（款）机关事业单位职业年金缴费支出（项）:支出决算数为9.88万元，比上年决算增加9.88万元，增长100%，主要原因是：</w:t>
      </w:r>
      <w:r>
        <w:rPr>
          <w:rFonts w:hint="eastAsia" w:ascii="仿宋_GB2312" w:eastAsia="仿宋_GB2312"/>
          <w:sz w:val="32"/>
          <w:szCs w:val="32"/>
          <w:lang w:val="en-US" w:eastAsia="zh-CN"/>
        </w:rPr>
        <w:t>单位本年退休人员增加，职业年金缴费增加</w:t>
      </w:r>
      <w:r>
        <w:rPr>
          <w:rFonts w:hint="eastAsia" w:ascii="仿宋_GB2312" w:eastAsia="仿宋_GB2312"/>
          <w:sz w:val="32"/>
          <w:szCs w:val="32"/>
        </w:rPr>
        <w:t>。</w:t>
      </w:r>
    </w:p>
    <w:p w14:paraId="7C05D4FB">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26.10万元，比上年决算增加9.47万元，增长56.95%，主要原因是：本年单位人员增加，人员养老保险缴费增加。</w:t>
      </w:r>
    </w:p>
    <w:p w14:paraId="06C89B05">
      <w:pPr>
        <w:ind w:firstLine="640" w:firstLineChars="200"/>
        <w:jc w:val="left"/>
        <w:rPr>
          <w:rFonts w:eastAsia="仿宋_GB2312"/>
          <w:sz w:val="32"/>
          <w:szCs w:val="32"/>
          <w:lang w:val="zh-CN"/>
        </w:rPr>
      </w:pPr>
      <w:r>
        <w:rPr>
          <w:rFonts w:hint="eastAsia" w:ascii="仿宋_GB2312" w:eastAsia="仿宋_GB2312"/>
          <w:sz w:val="32"/>
          <w:szCs w:val="32"/>
        </w:rPr>
        <w:t>6.一般公共服务支出（类）其他一般公共服务支出（款）其他一般公共服务支出（项）:支出决算数为0.00万元，比上年决算减少15.00万元，下降100%，主要原因是：</w:t>
      </w:r>
      <w:r>
        <w:rPr>
          <w:rFonts w:hint="eastAsia" w:ascii="仿宋_GB2312" w:eastAsia="仿宋_GB2312"/>
          <w:sz w:val="32"/>
          <w:szCs w:val="32"/>
          <w:lang w:val="zh-CN"/>
        </w:rPr>
        <w:t>本年减少技能培训</w:t>
      </w:r>
      <w:r>
        <w:rPr>
          <w:rFonts w:hint="eastAsia" w:ascii="仿宋_GB2312" w:eastAsia="仿宋_GB2312"/>
          <w:sz w:val="32"/>
          <w:szCs w:val="32"/>
          <w:lang w:val="en-US" w:eastAsia="zh-CN"/>
        </w:rPr>
        <w:t>业务</w:t>
      </w:r>
      <w:r>
        <w:rPr>
          <w:rFonts w:hint="eastAsia" w:ascii="仿宋_GB2312" w:eastAsia="仿宋_GB2312"/>
          <w:sz w:val="32"/>
          <w:szCs w:val="32"/>
          <w:lang w:val="zh-CN"/>
        </w:rPr>
        <w:t>办公</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w:t>
      </w:r>
    </w:p>
    <w:p w14:paraId="58EFCFC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302F1A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287.60万元，其中：人员经费274.11万元，包括：基本工资、津贴补贴、奖金、机关事业单位基本养老保险缴费、职业年金缴费、职工基本医疗保险缴费、其他社会保障缴费、住房公积金、其他工资福利支出、退休费。</w:t>
      </w:r>
    </w:p>
    <w:p w14:paraId="22FCED15">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公用经费13.49万元，包括：办公费、电费、取暖费。</w:t>
      </w:r>
    </w:p>
    <w:p w14:paraId="5C20039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335A05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4B556BE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71909C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069A06F8">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5E0A177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4433BD2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0FEC3120">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32555B0">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A55428F">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3E7717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0F7E1E1">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0A148CF">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5672FF65">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2023年度木垒哈萨克自治县技工学校（事业单位）公用经费支出13.49万元，比上年减少5.11万元，下降27.47%，主要原因是：本年单位办公费、</w:t>
      </w:r>
      <w:r>
        <w:rPr>
          <w:rFonts w:hint="eastAsia" w:ascii="仿宋_GB2312" w:eastAsia="仿宋_GB2312"/>
          <w:sz w:val="32"/>
          <w:szCs w:val="32"/>
          <w:lang w:val="en-US" w:eastAsia="zh-CN"/>
        </w:rPr>
        <w:t>电费、</w:t>
      </w:r>
      <w:r>
        <w:rPr>
          <w:rFonts w:hint="eastAsia" w:ascii="仿宋_GB2312" w:eastAsia="仿宋_GB2312"/>
          <w:sz w:val="32"/>
          <w:szCs w:val="32"/>
        </w:rPr>
        <w:t>取暖费较上年减少。</w:t>
      </w:r>
    </w:p>
    <w:p w14:paraId="14BCA98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4BF44E1">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2023年度政府采购支出总额5.76万元，其中：政府采购货物支出3.73万元、政府采购工程支出0.00万元、政府采购服务支出2.03万元。</w:t>
      </w:r>
    </w:p>
    <w:p w14:paraId="58C23A1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授予中小企业合同金额5.76万元，占政府采购支出总额的100.00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，其中：授予小微企业合同金额5.76万元，占政府采购支出总额的100.00</w:t>
      </w:r>
      <w:r>
        <w:rPr>
          <w:rFonts w:ascii="仿宋_GB2312" w:eastAsia="仿宋_GB2312"/>
          <w:sz w:val="32"/>
          <w:szCs w:val="32"/>
        </w:rPr>
        <w:t>%</w:t>
      </w:r>
      <w:r>
        <w:rPr>
          <w:rFonts w:hint="eastAsia" w:ascii="仿宋_GB2312" w:eastAsia="仿宋_GB2312"/>
          <w:sz w:val="32"/>
          <w:szCs w:val="32"/>
        </w:rPr>
        <w:t>。</w:t>
      </w:r>
    </w:p>
    <w:p w14:paraId="2E3C443A">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91228C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截至2023年12月31日，固定资产原值63.80万元，房屋0.0</w:t>
      </w:r>
      <w:r>
        <w:rPr>
          <w:rFonts w:ascii="仿宋_GB2312" w:eastAsia="仿宋_GB2312"/>
          <w:sz w:val="32"/>
          <w:szCs w:val="32"/>
        </w:rPr>
        <w:t>0</w:t>
      </w:r>
      <w:r>
        <w:rPr>
          <w:rFonts w:hint="eastAsia" w:ascii="仿宋_GB2312" w:eastAsia="仿宋_GB2312"/>
          <w:sz w:val="32"/>
          <w:szCs w:val="32"/>
        </w:rPr>
        <w:t>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用车；单价100万元（含）以上设备（不含车辆）0台（套）。</w:t>
      </w:r>
    </w:p>
    <w:p w14:paraId="28B44878">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274CF11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602.80</w:t>
      </w:r>
      <w:r>
        <w:rPr>
          <w:rFonts w:hint="eastAsia" w:ascii="仿宋_GB2312" w:eastAsia="仿宋_GB2312"/>
          <w:sz w:val="32"/>
          <w:szCs w:val="32"/>
        </w:rPr>
        <w:t>万元，实际执行总额</w:t>
      </w:r>
      <w:r>
        <w:rPr>
          <w:rFonts w:ascii="仿宋_GB2312" w:eastAsia="仿宋_GB2312"/>
          <w:sz w:val="32"/>
          <w:szCs w:val="32"/>
        </w:rPr>
        <w:t>520.60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w:t>
      </w:r>
      <w:r>
        <w:rPr>
          <w:rFonts w:ascii="仿宋_GB2312" w:eastAsia="仿宋_GB2312"/>
          <w:sz w:val="32"/>
          <w:szCs w:val="32"/>
        </w:rPr>
        <w:t>.00</w:t>
      </w:r>
      <w:r>
        <w:rPr>
          <w:rFonts w:hint="eastAsia" w:ascii="仿宋_GB2312" w:eastAsia="仿宋_GB2312"/>
          <w:sz w:val="32"/>
          <w:szCs w:val="32"/>
        </w:rPr>
        <w:t>万元，全年执行数0</w:t>
      </w:r>
      <w:r>
        <w:rPr>
          <w:rFonts w:ascii="仿宋_GB2312" w:eastAsia="仿宋_GB2312"/>
          <w:sz w:val="32"/>
          <w:szCs w:val="32"/>
        </w:rPr>
        <w:t>.00</w:t>
      </w:r>
      <w:r>
        <w:rPr>
          <w:rFonts w:hint="eastAsia" w:ascii="仿宋_GB2312" w:eastAsia="仿宋_GB2312"/>
          <w:sz w:val="32"/>
          <w:szCs w:val="32"/>
        </w:rPr>
        <w:t>万元。预算绩效管理取得的成效：一是制订专项资金管理制度，各专项资金建立了专账，</w:t>
      </w:r>
      <w:r>
        <w:rPr>
          <w:rFonts w:hint="eastAsia" w:ascii="仿宋_GB2312" w:eastAsia="仿宋_GB2312"/>
          <w:sz w:val="32"/>
          <w:szCs w:val="32"/>
          <w:lang w:eastAsia="zh-CN"/>
        </w:rPr>
        <w:t>制定</w:t>
      </w:r>
      <w:r>
        <w:rPr>
          <w:rFonts w:hint="eastAsia" w:ascii="仿宋_GB2312" w:eastAsia="仿宋_GB2312"/>
          <w:sz w:val="32"/>
          <w:szCs w:val="32"/>
        </w:rPr>
        <w:t>了项目实施方案；二是切实</w:t>
      </w:r>
      <w:r>
        <w:rPr>
          <w:rFonts w:hint="eastAsia" w:ascii="仿宋_GB2312" w:eastAsia="仿宋_GB2312"/>
          <w:sz w:val="32"/>
          <w:szCs w:val="32"/>
          <w:lang w:eastAsia="zh-CN"/>
        </w:rPr>
        <w:t>维护专项资金</w:t>
      </w:r>
      <w:r>
        <w:rPr>
          <w:rFonts w:hint="eastAsia" w:ascii="仿宋_GB2312" w:eastAsia="仿宋_GB2312"/>
          <w:sz w:val="32"/>
          <w:szCs w:val="32"/>
        </w:rPr>
        <w:t>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w:t>
      </w:r>
      <w:r>
        <w:rPr>
          <w:rFonts w:hint="eastAsia" w:ascii="仿宋_GB2312" w:eastAsia="仿宋_GB2312"/>
          <w:sz w:val="32"/>
          <w:szCs w:val="32"/>
          <w:lang w:eastAsia="zh-CN"/>
        </w:rPr>
        <w:t>校</w:t>
      </w:r>
      <w:r>
        <w:rPr>
          <w:rFonts w:hint="eastAsia" w:ascii="仿宋_GB2312" w:eastAsia="仿宋_GB2312"/>
          <w:sz w:val="32"/>
          <w:szCs w:val="32"/>
        </w:rPr>
        <w:t>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要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具体项目自评情况附绩效自评表及自评报告。</w:t>
      </w:r>
    </w:p>
    <w:tbl>
      <w:tblPr>
        <w:tblStyle w:val="9"/>
        <w:tblW w:w="0" w:type="auto"/>
        <w:tblInd w:w="0" w:type="dxa"/>
        <w:tblLayout w:type="autofit"/>
        <w:tblCellMar>
          <w:top w:w="0" w:type="dxa"/>
          <w:left w:w="0" w:type="dxa"/>
          <w:bottom w:w="0" w:type="dxa"/>
          <w:right w:w="0" w:type="dxa"/>
        </w:tblCellMar>
      </w:tblPr>
      <w:tblGrid>
        <w:gridCol w:w="1629"/>
        <w:gridCol w:w="1341"/>
        <w:gridCol w:w="1076"/>
        <w:gridCol w:w="789"/>
        <w:gridCol w:w="932"/>
        <w:gridCol w:w="878"/>
        <w:gridCol w:w="1148"/>
        <w:gridCol w:w="543"/>
      </w:tblGrid>
      <w:tr w14:paraId="35D13C11">
        <w:tblPrEx>
          <w:tblCellMar>
            <w:top w:w="0" w:type="dxa"/>
            <w:left w:w="0" w:type="dxa"/>
            <w:bottom w:w="0" w:type="dxa"/>
            <w:right w:w="0" w:type="dxa"/>
          </w:tblCellMar>
        </w:tblPrEx>
        <w:trPr>
          <w:trHeight w:val="52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C91256">
            <w:pPr>
              <w:widowControl/>
              <w:jc w:val="center"/>
              <w:textAlignment w:val="center"/>
              <w:rPr>
                <w:rFonts w:hint="eastAsia" w:cs="宋体" w:asciiTheme="minorEastAsia" w:hAnsiTheme="minorEastAsia" w:eastAsiaTheme="minorEastAsia"/>
                <w:b/>
                <w:color w:val="000000"/>
                <w:sz w:val="32"/>
                <w:szCs w:val="32"/>
              </w:rPr>
            </w:pPr>
            <w:r>
              <w:rPr>
                <w:rFonts w:hint="eastAsia" w:cs="宋体" w:asciiTheme="minorEastAsia" w:hAnsiTheme="minorEastAsia" w:eastAsiaTheme="minorEastAsia"/>
                <w:color w:val="000000"/>
                <w:kern w:val="0"/>
                <w:sz w:val="20"/>
                <w:szCs w:val="20"/>
                <w:lang w:bidi="ar"/>
              </w:rPr>
              <w:t>部门（单位）整体支出绩效目标自评表</w:t>
            </w:r>
          </w:p>
        </w:tc>
      </w:tr>
      <w:tr w14:paraId="37DC0F6F">
        <w:tblPrEx>
          <w:tblCellMar>
            <w:top w:w="0" w:type="dxa"/>
            <w:left w:w="0" w:type="dxa"/>
            <w:bottom w:w="0" w:type="dxa"/>
            <w:right w:w="0" w:type="dxa"/>
          </w:tblCellMar>
        </w:tblPrEx>
        <w:trPr>
          <w:trHeight w:val="36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6FA355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（2023年度）</w:t>
            </w:r>
          </w:p>
        </w:tc>
      </w:tr>
      <w:tr w14:paraId="72DBC432">
        <w:tblPrEx>
          <w:tblCellMar>
            <w:top w:w="0" w:type="dxa"/>
            <w:left w:w="0" w:type="dxa"/>
            <w:bottom w:w="0" w:type="dxa"/>
            <w:right w:w="0"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048F93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A8D1E9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eastAsia="zh-CN" w:bidi="ar"/>
              </w:rPr>
              <w:t>木垒哈萨克自治县</w:t>
            </w:r>
            <w:r>
              <w:rPr>
                <w:rFonts w:hint="eastAsia" w:cs="宋体" w:asciiTheme="minorEastAsia" w:hAnsiTheme="minorEastAsia" w:eastAsiaTheme="minorEastAsia"/>
                <w:color w:val="000000"/>
                <w:kern w:val="0"/>
                <w:sz w:val="20"/>
                <w:szCs w:val="20"/>
                <w:lang w:bidi="ar"/>
              </w:rPr>
              <w:t>技工学校</w:t>
            </w:r>
          </w:p>
        </w:tc>
      </w:tr>
      <w:tr w14:paraId="69350CEF">
        <w:tblPrEx>
          <w:tblCellMar>
            <w:top w:w="0" w:type="dxa"/>
            <w:left w:w="0" w:type="dxa"/>
            <w:bottom w:w="0" w:type="dxa"/>
            <w:right w:w="0" w:type="dxa"/>
          </w:tblCellMar>
        </w:tblPrEx>
        <w:trPr>
          <w:trHeight w:val="5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2B29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部门资金（万元）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A319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资金来源</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CFC2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年初预算数</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2CBB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全年预算数</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D4FD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全年执行数</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CE5B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4711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执行率</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29B1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2DBCCBA7">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E1A85">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08C372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中央安排</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CE760">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532CE">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AD603">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10E6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1582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100%</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0DEB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43CCB936">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D8FD9">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456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自治区安排</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48CFB">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15CEA">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64DC9">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2C42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BE57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F8D4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3C26CB37">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A1839">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000B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地（州、市）安排</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98882">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6DD70">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9CEFA">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63CF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E8C9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4CFD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5A07622B">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EE1D6">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AABF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县（市、区）安排</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387FC">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245.86</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487F2">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602.80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007A3">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520.60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1BEF2">
            <w:pPr>
              <w:jc w:val="center"/>
              <w:rPr>
                <w:rFonts w:hint="eastAsia" w:cs="宋体" w:asciiTheme="minorEastAsia" w:hAnsiTheme="minorEastAsia" w:eastAsiaTheme="minorEastAsia"/>
                <w:color w:val="000000"/>
                <w:sz w:val="20"/>
                <w:szCs w:val="20"/>
              </w:rPr>
            </w:pPr>
            <w:r>
              <w:rPr>
                <w:rFonts w:hint="eastAsia"/>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735BD">
            <w:pPr>
              <w:jc w:val="center"/>
              <w:rPr>
                <w:rFonts w:hint="eastAsia" w:cs="宋体" w:asciiTheme="minorEastAsia" w:hAnsiTheme="minorEastAsia" w:eastAsiaTheme="minorEastAsia"/>
                <w:color w:val="000000"/>
                <w:sz w:val="20"/>
                <w:szCs w:val="20"/>
              </w:rPr>
            </w:pPr>
            <w:r>
              <w:rPr>
                <w:rFonts w:hint="eastAsia"/>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555BE">
            <w:pPr>
              <w:jc w:val="center"/>
              <w:rPr>
                <w:rFonts w:hint="eastAsia" w:cs="宋体" w:asciiTheme="minorEastAsia" w:hAnsiTheme="minorEastAsia" w:eastAsiaTheme="minorEastAsia"/>
                <w:color w:val="000000"/>
                <w:sz w:val="20"/>
                <w:szCs w:val="20"/>
              </w:rPr>
            </w:pPr>
            <w:r>
              <w:rPr>
                <w:rFonts w:hint="eastAsia"/>
              </w:rPr>
              <w:t>-</w:t>
            </w:r>
          </w:p>
        </w:tc>
      </w:tr>
      <w:tr w14:paraId="68A56356">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DE71B">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7EEB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其他资金</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CEE1E">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CB5E">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1A027">
            <w:pPr>
              <w:widowControl/>
              <w:jc w:val="center"/>
              <w:textAlignment w:val="center"/>
              <w:rPr>
                <w:rFonts w:hint="eastAsia" w:cs="宋体" w:asciiTheme="minorEastAsia" w:hAnsiTheme="minorEastAsia" w:eastAsiaTheme="minorEastAsia"/>
                <w:color w:val="000000"/>
                <w:sz w:val="20"/>
                <w:szCs w:val="20"/>
              </w:rPr>
            </w:pPr>
            <w:r>
              <w:rPr>
                <w:rFonts w:cs="宋体" w:asciiTheme="minorEastAsia" w:hAnsiTheme="minorEastAsia" w:eastAsiaTheme="minorEastAsia"/>
                <w:color w:val="000000"/>
                <w:kern w:val="0"/>
                <w:sz w:val="20"/>
                <w:szCs w:val="20"/>
                <w:lang w:bidi="ar"/>
              </w:rPr>
              <w:t>0.00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9CB30">
            <w:pPr>
              <w:jc w:val="center"/>
              <w:rPr>
                <w:rFonts w:hint="eastAsia" w:cs="宋体" w:asciiTheme="minorEastAsia" w:hAnsiTheme="minorEastAsia" w:eastAsiaTheme="minorEastAsia"/>
                <w:color w:val="000000"/>
                <w:sz w:val="20"/>
                <w:szCs w:val="20"/>
              </w:rPr>
            </w:pPr>
            <w:r>
              <w:rPr>
                <w:rFonts w:hint="eastAsia"/>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4D42A">
            <w:pPr>
              <w:jc w:val="center"/>
              <w:rPr>
                <w:rFonts w:hint="eastAsia" w:cs="宋体" w:asciiTheme="minorEastAsia" w:hAnsiTheme="minorEastAsia" w:eastAsiaTheme="minorEastAsia"/>
                <w:color w:val="000000"/>
                <w:sz w:val="20"/>
                <w:szCs w:val="20"/>
              </w:rPr>
            </w:pPr>
            <w:r>
              <w:rPr>
                <w:rFonts w:hint="eastAsia"/>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C4666">
            <w:pPr>
              <w:jc w:val="center"/>
              <w:rPr>
                <w:rFonts w:hint="eastAsia" w:cs="宋体" w:asciiTheme="minorEastAsia" w:hAnsiTheme="minorEastAsia" w:eastAsiaTheme="minorEastAsia"/>
                <w:color w:val="000000"/>
                <w:sz w:val="20"/>
                <w:szCs w:val="20"/>
              </w:rPr>
            </w:pPr>
            <w:r>
              <w:rPr>
                <w:rFonts w:hint="eastAsia"/>
              </w:rPr>
              <w:t>-</w:t>
            </w:r>
          </w:p>
        </w:tc>
      </w:tr>
      <w:tr w14:paraId="579A8425">
        <w:tblPrEx>
          <w:tblCellMar>
            <w:top w:w="0" w:type="dxa"/>
            <w:left w:w="0" w:type="dxa"/>
            <w:bottom w:w="0" w:type="dxa"/>
            <w:right w:w="0"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0C17F">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E42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C7CCB">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245.86</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C3C4D">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602.80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25DE6">
            <w:pPr>
              <w:widowControl/>
              <w:jc w:val="center"/>
              <w:textAlignment w:val="center"/>
              <w:rPr>
                <w:rFonts w:hint="eastAsia" w:cs="宋体" w:asciiTheme="minorEastAsia" w:hAnsiTheme="minorEastAsia" w:eastAsiaTheme="minorEastAsia"/>
                <w:color w:val="000000"/>
                <w:kern w:val="0"/>
                <w:sz w:val="20"/>
                <w:szCs w:val="20"/>
                <w:lang w:bidi="ar"/>
              </w:rPr>
            </w:pPr>
            <w:r>
              <w:rPr>
                <w:rFonts w:cs="宋体" w:asciiTheme="minorEastAsia" w:hAnsiTheme="minorEastAsia" w:eastAsiaTheme="minorEastAsia"/>
                <w:color w:val="000000"/>
                <w:kern w:val="0"/>
                <w:sz w:val="20"/>
                <w:szCs w:val="20"/>
                <w:lang w:bidi="ar"/>
              </w:rPr>
              <w:t>520.60</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8E0D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6C9B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4422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w:t>
            </w:r>
          </w:p>
        </w:tc>
      </w:tr>
      <w:tr w14:paraId="4BCFFA06">
        <w:tblPrEx>
          <w:tblCellMar>
            <w:top w:w="0" w:type="dxa"/>
            <w:left w:w="0" w:type="dxa"/>
            <w:bottom w:w="0" w:type="dxa"/>
            <w:right w:w="0" w:type="dxa"/>
          </w:tblCellMar>
        </w:tblPrEx>
        <w:trPr>
          <w:trHeight w:val="705"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C5F3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年度总体目标</w:t>
            </w:r>
          </w:p>
        </w:tc>
        <w:tc>
          <w:tcPr>
            <w:tcW w:w="320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46D069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预期目标</w:t>
            </w:r>
          </w:p>
        </w:tc>
        <w:tc>
          <w:tcPr>
            <w:tcW w:w="350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A37BC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实际完成情况</w:t>
            </w:r>
          </w:p>
        </w:tc>
      </w:tr>
      <w:tr w14:paraId="7117153C">
        <w:tblPrEx>
          <w:tblCellMar>
            <w:top w:w="0" w:type="dxa"/>
            <w:left w:w="0" w:type="dxa"/>
            <w:bottom w:w="0" w:type="dxa"/>
            <w:right w:w="0" w:type="dxa"/>
          </w:tblCellMar>
        </w:tblPrEx>
        <w:trPr>
          <w:trHeight w:val="20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7A0A2">
            <w:pPr>
              <w:jc w:val="center"/>
              <w:rPr>
                <w:rFonts w:hint="eastAsia" w:cs="宋体" w:asciiTheme="minorEastAsia" w:hAnsiTheme="minorEastAsia" w:eastAsiaTheme="minorEastAsia"/>
                <w:color w:val="000000"/>
                <w:sz w:val="20"/>
                <w:szCs w:val="20"/>
              </w:rPr>
            </w:pPr>
          </w:p>
        </w:tc>
        <w:tc>
          <w:tcPr>
            <w:tcW w:w="320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A224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完成本校招生工作、培训工作、教务等工作</w:t>
            </w:r>
            <w:r>
              <w:rPr>
                <w:rFonts w:hint="eastAsia" w:cs="宋体" w:asciiTheme="minorEastAsia" w:hAnsiTheme="minorEastAsia" w:eastAsiaTheme="minorEastAsia"/>
                <w:color w:val="000000"/>
                <w:kern w:val="0"/>
                <w:sz w:val="20"/>
                <w:szCs w:val="20"/>
                <w:lang w:eastAsia="zh-CN" w:bidi="ar"/>
              </w:rPr>
              <w:t>的各</w:t>
            </w:r>
            <w:r>
              <w:rPr>
                <w:rFonts w:hint="eastAsia" w:cs="宋体" w:asciiTheme="minorEastAsia" w:hAnsiTheme="minorEastAsia" w:eastAsiaTheme="minorEastAsia"/>
                <w:color w:val="000000"/>
                <w:kern w:val="0"/>
                <w:sz w:val="20"/>
                <w:szCs w:val="20"/>
                <w:lang w:bidi="ar"/>
              </w:rPr>
              <w:t>项支出，本年度计划受训人数3000人次，每期培训时间7天以上，学员结业率达到90%使各项工作圆满完成。保障本校各类培训有序开展，提高教学水平，提高农牧民</w:t>
            </w:r>
            <w:r>
              <w:rPr>
                <w:rFonts w:hint="eastAsia" w:cs="宋体" w:asciiTheme="minorEastAsia" w:hAnsiTheme="minorEastAsia" w:eastAsiaTheme="minorEastAsia"/>
                <w:color w:val="000000"/>
                <w:kern w:val="0"/>
                <w:sz w:val="20"/>
                <w:szCs w:val="20"/>
                <w:lang w:eastAsia="zh-CN" w:bidi="ar"/>
              </w:rPr>
              <w:t>综合</w:t>
            </w:r>
            <w:r>
              <w:rPr>
                <w:rFonts w:hint="eastAsia" w:cs="宋体" w:asciiTheme="minorEastAsia" w:hAnsiTheme="minorEastAsia" w:eastAsiaTheme="minorEastAsia"/>
                <w:color w:val="000000"/>
                <w:kern w:val="0"/>
                <w:sz w:val="20"/>
                <w:szCs w:val="20"/>
                <w:lang w:bidi="ar"/>
              </w:rPr>
              <w:t>素质，促进乡村振兴。</w:t>
            </w:r>
          </w:p>
        </w:tc>
        <w:tc>
          <w:tcPr>
            <w:tcW w:w="350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218C7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截至2023年12月31日，我单位已完成组织技能</w:t>
            </w:r>
            <w:r>
              <w:rPr>
                <w:rFonts w:hint="eastAsia" w:cs="宋体" w:asciiTheme="minorEastAsia" w:hAnsiTheme="minorEastAsia" w:eastAsiaTheme="minorEastAsia"/>
                <w:color w:val="000000"/>
                <w:kern w:val="0"/>
                <w:sz w:val="20"/>
                <w:szCs w:val="20"/>
                <w:lang w:eastAsia="zh-CN" w:bidi="ar"/>
              </w:rPr>
              <w:t>培</w:t>
            </w:r>
            <w:r>
              <w:rPr>
                <w:rFonts w:hint="eastAsia" w:cs="宋体" w:asciiTheme="minorEastAsia" w:hAnsiTheme="minorEastAsia" w:eastAsiaTheme="minorEastAsia"/>
                <w:color w:val="000000"/>
                <w:kern w:val="0"/>
                <w:sz w:val="20"/>
                <w:szCs w:val="20"/>
                <w:lang w:bidi="ar"/>
              </w:rPr>
              <w:t>训人数3000人次，每期</w:t>
            </w:r>
            <w:r>
              <w:rPr>
                <w:rFonts w:hint="eastAsia" w:cs="宋体" w:asciiTheme="minorEastAsia" w:hAnsiTheme="minorEastAsia" w:eastAsiaTheme="minorEastAsia"/>
                <w:color w:val="000000"/>
                <w:kern w:val="0"/>
                <w:sz w:val="20"/>
                <w:szCs w:val="20"/>
                <w:lang w:eastAsia="zh-CN" w:bidi="ar"/>
              </w:rPr>
              <w:t>完成</w:t>
            </w:r>
            <w:r>
              <w:rPr>
                <w:rFonts w:hint="eastAsia" w:cs="宋体" w:asciiTheme="minorEastAsia" w:hAnsiTheme="minorEastAsia" w:eastAsiaTheme="minorEastAsia"/>
                <w:color w:val="000000"/>
                <w:kern w:val="0"/>
                <w:sz w:val="20"/>
                <w:szCs w:val="20"/>
                <w:lang w:bidi="ar"/>
              </w:rPr>
              <w:t>培训时间7天以上，学员结业率达到90%，各项工作圆满完成。保障本校各类培训有序开展，提高教学水平，提高农牧民</w:t>
            </w:r>
            <w:r>
              <w:rPr>
                <w:rFonts w:hint="eastAsia" w:cs="宋体" w:asciiTheme="minorEastAsia" w:hAnsiTheme="minorEastAsia" w:eastAsiaTheme="minorEastAsia"/>
                <w:color w:val="000000"/>
                <w:kern w:val="0"/>
                <w:sz w:val="20"/>
                <w:szCs w:val="20"/>
                <w:lang w:eastAsia="zh-CN" w:bidi="ar"/>
              </w:rPr>
              <w:t>综合</w:t>
            </w:r>
            <w:r>
              <w:rPr>
                <w:rFonts w:hint="eastAsia" w:cs="宋体" w:asciiTheme="minorEastAsia" w:hAnsiTheme="minorEastAsia" w:eastAsiaTheme="minorEastAsia"/>
                <w:color w:val="000000"/>
                <w:kern w:val="0"/>
                <w:sz w:val="20"/>
                <w:szCs w:val="20"/>
                <w:lang w:bidi="ar"/>
              </w:rPr>
              <w:t>素质，促进乡村振兴。</w:t>
            </w:r>
          </w:p>
        </w:tc>
      </w:tr>
      <w:tr w14:paraId="735522F7">
        <w:tblPrEx>
          <w:tblCellMar>
            <w:top w:w="0" w:type="dxa"/>
            <w:left w:w="0" w:type="dxa"/>
            <w:bottom w:w="0" w:type="dxa"/>
            <w:right w:w="0"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694B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4C68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1789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三级指标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C3E9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预期指标值</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A7C8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指标值设定依据</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9089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分值权重</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A3FE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实际完成指标值</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22E4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得分</w:t>
            </w:r>
          </w:p>
        </w:tc>
      </w:tr>
      <w:tr w14:paraId="42FBD1C2">
        <w:tblPrEx>
          <w:tblCellMar>
            <w:top w:w="0" w:type="dxa"/>
            <w:left w:w="0" w:type="dxa"/>
            <w:bottom w:w="0" w:type="dxa"/>
            <w:right w:w="0"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B5624">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运行成本</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4790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39BC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保障办公人员数量</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B9E13">
            <w:pPr>
              <w:widowControl/>
              <w:jc w:val="center"/>
              <w:textAlignment w:val="center"/>
              <w:rPr>
                <w:rFonts w:hint="eastAsia" w:cs="宋体" w:asciiTheme="minorEastAsia" w:hAnsiTheme="minorEastAsia" w:eastAsiaTheme="minorEastAsia"/>
                <w:color w:val="000000"/>
                <w:sz w:val="20"/>
                <w:szCs w:val="20"/>
              </w:rPr>
            </w:pPr>
            <w:bookmarkStart w:id="48" w:name="_GoBack"/>
            <w:r>
              <w:rPr>
                <w:rFonts w:hint="eastAsia" w:cs="宋体" w:asciiTheme="minorEastAsia" w:hAnsiTheme="minorEastAsia" w:eastAsiaTheme="minorEastAsia"/>
                <w:color w:val="000000"/>
                <w:kern w:val="0"/>
                <w:sz w:val="20"/>
                <w:szCs w:val="20"/>
                <w:lang w:bidi="ar"/>
              </w:rPr>
              <w:t>&gt;</w:t>
            </w:r>
            <w:bookmarkEnd w:id="48"/>
            <w:r>
              <w:rPr>
                <w:rFonts w:hint="eastAsia" w:cs="宋体" w:asciiTheme="minorEastAsia" w:hAnsiTheme="minorEastAsia" w:eastAsiaTheme="minorEastAsia"/>
                <w:color w:val="000000"/>
                <w:kern w:val="0"/>
                <w:sz w:val="20"/>
                <w:szCs w:val="20"/>
                <w:lang w:bidi="ar"/>
              </w:rPr>
              <w:t>=14人</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BF9A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中共木垒哈萨克自治县委员会机构编制委员会办公室文件木县党机办</w:t>
            </w:r>
            <w:r>
              <w:rPr>
                <w:rFonts w:hint="eastAsia" w:cs="宋体" w:asciiTheme="minorEastAsia" w:hAnsiTheme="minorEastAsia" w:eastAsiaTheme="minorEastAsia"/>
                <w:color w:val="000000"/>
                <w:kern w:val="0"/>
                <w:sz w:val="20"/>
                <w:szCs w:val="20"/>
                <w:lang w:eastAsia="zh-CN" w:bidi="ar"/>
              </w:rPr>
              <w:t>〔2021〕18号</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5185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8</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4976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14人</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2232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8</w:t>
            </w:r>
          </w:p>
        </w:tc>
      </w:tr>
      <w:tr w14:paraId="4DC7A147">
        <w:tblPrEx>
          <w:tblCellMar>
            <w:top w:w="0" w:type="dxa"/>
            <w:left w:w="0" w:type="dxa"/>
            <w:bottom w:w="0" w:type="dxa"/>
            <w:right w:w="0" w:type="dxa"/>
          </w:tblCellMar>
        </w:tblPrEx>
        <w:trPr>
          <w:trHeight w:val="7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ACEA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管理效率</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79C77">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A3E0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受训人数</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9456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&gt;=3000人次</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7DA6E">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eastAsia="zh-CN" w:bidi="ar"/>
              </w:rPr>
              <w:t>木垒哈萨克自治县</w:t>
            </w:r>
            <w:r>
              <w:rPr>
                <w:rFonts w:hint="eastAsia" w:cs="宋体" w:asciiTheme="minorEastAsia" w:hAnsiTheme="minorEastAsia" w:eastAsiaTheme="minorEastAsia"/>
                <w:color w:val="000000"/>
                <w:kern w:val="0"/>
                <w:sz w:val="20"/>
                <w:szCs w:val="20"/>
                <w:lang w:bidi="ar"/>
              </w:rPr>
              <w:t>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3845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95B1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 xml:space="preserve">3000人次 </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87ED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r>
      <w:tr w14:paraId="7271F282">
        <w:tblPrEx>
          <w:tblCellMar>
            <w:top w:w="0" w:type="dxa"/>
            <w:left w:w="0" w:type="dxa"/>
            <w:bottom w:w="0" w:type="dxa"/>
            <w:right w:w="0" w:type="dxa"/>
          </w:tblCellMar>
        </w:tblPrEx>
        <w:trPr>
          <w:trHeight w:val="7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2F515">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1341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8542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培训出勤率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181C2">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BE528">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eastAsia="zh-CN" w:bidi="ar"/>
              </w:rPr>
              <w:t>木垒哈萨克自治县</w:t>
            </w:r>
            <w:r>
              <w:rPr>
                <w:rFonts w:hint="eastAsia" w:cs="宋体" w:asciiTheme="minorEastAsia" w:hAnsiTheme="minorEastAsia" w:eastAsiaTheme="minorEastAsia"/>
                <w:color w:val="000000"/>
                <w:kern w:val="0"/>
                <w:sz w:val="20"/>
                <w:szCs w:val="20"/>
                <w:lang w:bidi="ar"/>
              </w:rPr>
              <w:t>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2DA1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584C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90%</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40A75">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20</w:t>
            </w:r>
          </w:p>
        </w:tc>
      </w:tr>
      <w:tr w14:paraId="75D45A3C">
        <w:tblPrEx>
          <w:tblCellMar>
            <w:top w:w="0" w:type="dxa"/>
            <w:left w:w="0" w:type="dxa"/>
            <w:bottom w:w="0" w:type="dxa"/>
            <w:right w:w="0" w:type="dxa"/>
          </w:tblCellMar>
        </w:tblPrEx>
        <w:trPr>
          <w:trHeight w:val="7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1546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履职效能</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07BF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1810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培训按时完成率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108B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866BF">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eastAsia="zh-CN" w:bidi="ar"/>
              </w:rPr>
              <w:t>木垒哈萨克自治县</w:t>
            </w:r>
            <w:r>
              <w:rPr>
                <w:rFonts w:hint="eastAsia" w:cs="宋体" w:asciiTheme="minorEastAsia" w:hAnsiTheme="minorEastAsia" w:eastAsiaTheme="minorEastAsia"/>
                <w:color w:val="000000"/>
                <w:kern w:val="0"/>
                <w:sz w:val="20"/>
                <w:szCs w:val="20"/>
                <w:lang w:bidi="ar"/>
              </w:rPr>
              <w:t>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A501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EECE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41C0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21D2E787">
        <w:tblPrEx>
          <w:tblCellMar>
            <w:top w:w="0" w:type="dxa"/>
            <w:left w:w="0" w:type="dxa"/>
            <w:bottom w:w="0" w:type="dxa"/>
            <w:right w:w="0" w:type="dxa"/>
          </w:tblCellMar>
        </w:tblPrEx>
        <w:trPr>
          <w:trHeight w:val="7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6AF3F">
            <w:pPr>
              <w:jc w:val="center"/>
              <w:rPr>
                <w:rFonts w:hint="eastAsia" w:cs="宋体" w:asciiTheme="minorEastAsia" w:hAnsiTheme="minorEastAsia" w:eastAsiaTheme="minorEastAsia"/>
                <w:color w:val="000000"/>
                <w:sz w:val="20"/>
                <w:szCs w:val="20"/>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E030B">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779E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一期培训天数</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CD356">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&gt;=7天</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44F1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eastAsia="zh-CN" w:bidi="ar"/>
              </w:rPr>
              <w:t>木垒哈萨克自治县</w:t>
            </w:r>
            <w:r>
              <w:rPr>
                <w:rFonts w:hint="eastAsia" w:cs="宋体" w:asciiTheme="minorEastAsia" w:hAnsiTheme="minorEastAsia" w:eastAsiaTheme="minorEastAsia"/>
                <w:color w:val="000000"/>
                <w:kern w:val="0"/>
                <w:sz w:val="20"/>
                <w:szCs w:val="20"/>
                <w:lang w:bidi="ar"/>
              </w:rPr>
              <w:t>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B6F83">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1D0FA">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7天</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ADF3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12</w:t>
            </w:r>
          </w:p>
        </w:tc>
      </w:tr>
      <w:tr w14:paraId="2C70A02F">
        <w:tblPrEx>
          <w:tblCellMar>
            <w:top w:w="0" w:type="dxa"/>
            <w:left w:w="0" w:type="dxa"/>
            <w:bottom w:w="0" w:type="dxa"/>
            <w:right w:w="0" w:type="dxa"/>
          </w:tblCellMar>
        </w:tblPrEx>
        <w:trPr>
          <w:trHeight w:val="7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8DAA5">
            <w:pPr>
              <w:jc w:val="center"/>
              <w:rPr>
                <w:rFonts w:hint="eastAsia" w:cs="宋体" w:asciiTheme="minorEastAsia" w:hAnsiTheme="minorEastAsia" w:eastAsiaTheme="minorEastAsia"/>
                <w:color w:val="000000"/>
                <w:sz w:val="20"/>
                <w:szCs w:val="20"/>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8B30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质量指标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9BBA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学员结业率</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1163D">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&gt;=90%</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F05D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eastAsia="zh-CN" w:bidi="ar"/>
              </w:rPr>
              <w:t>木垒哈萨克自治县</w:t>
            </w:r>
            <w:r>
              <w:rPr>
                <w:rFonts w:hint="eastAsia" w:cs="宋体" w:asciiTheme="minorEastAsia" w:hAnsiTheme="minorEastAsia" w:eastAsiaTheme="minorEastAsia"/>
                <w:color w:val="000000"/>
                <w:kern w:val="0"/>
                <w:sz w:val="20"/>
                <w:szCs w:val="20"/>
                <w:lang w:bidi="ar"/>
              </w:rPr>
              <w:t>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EECE0">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2584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90%</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20619">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r w14:paraId="3CB54343">
        <w:tblPrEx>
          <w:tblCellMar>
            <w:top w:w="0" w:type="dxa"/>
            <w:left w:w="0" w:type="dxa"/>
            <w:bottom w:w="0" w:type="dxa"/>
            <w:right w:w="0"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F930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服务对象满意度</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8D11A">
            <w:pPr>
              <w:jc w:val="center"/>
              <w:rPr>
                <w:rFonts w:hint="eastAsia" w:cs="宋体" w:asciiTheme="minorEastAsia" w:hAnsiTheme="minorEastAsia" w:eastAsiaTheme="minorEastAsia"/>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AD6EC">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参训学员满意度</w:t>
            </w:r>
          </w:p>
        </w:tc>
        <w:tc>
          <w:tcPr>
            <w:tcW w:w="7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3D49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&gt;=95%</w:t>
            </w:r>
          </w:p>
        </w:tc>
        <w:tc>
          <w:tcPr>
            <w:tcW w:w="9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012F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eastAsia="zh-CN" w:bidi="ar"/>
              </w:rPr>
              <w:t>木垒哈萨克自治县</w:t>
            </w:r>
            <w:r>
              <w:rPr>
                <w:rFonts w:hint="eastAsia" w:cs="宋体" w:asciiTheme="minorEastAsia" w:hAnsiTheme="minorEastAsia" w:eastAsiaTheme="minorEastAsia"/>
                <w:color w:val="000000"/>
                <w:kern w:val="0"/>
                <w:sz w:val="20"/>
                <w:szCs w:val="20"/>
                <w:lang w:bidi="ar"/>
              </w:rPr>
              <w:t>技工学校2023年工作计划</w:t>
            </w:r>
          </w:p>
        </w:tc>
        <w:tc>
          <w:tcPr>
            <w:tcW w:w="8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4E467">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c>
          <w:tcPr>
            <w:tcW w:w="11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B0641">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95%</w:t>
            </w:r>
          </w:p>
        </w:tc>
        <w:tc>
          <w:tcPr>
            <w:tcW w:w="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BC65B">
            <w:pPr>
              <w:widowControl/>
              <w:jc w:val="center"/>
              <w:textAlignment w:val="center"/>
              <w:rPr>
                <w:rFonts w:hint="eastAsia" w:cs="宋体" w:asciiTheme="minorEastAsia" w:hAnsiTheme="minorEastAsia" w:eastAsiaTheme="minorEastAsia"/>
                <w:color w:val="000000"/>
                <w:sz w:val="20"/>
                <w:szCs w:val="20"/>
              </w:rPr>
            </w:pPr>
            <w:r>
              <w:rPr>
                <w:rFonts w:hint="eastAsia" w:cs="宋体" w:asciiTheme="minorEastAsia" w:hAnsiTheme="minorEastAsia" w:eastAsiaTheme="minorEastAsia"/>
                <w:color w:val="000000"/>
                <w:kern w:val="0"/>
                <w:sz w:val="20"/>
                <w:szCs w:val="20"/>
                <w:lang w:bidi="ar"/>
              </w:rPr>
              <w:t>10</w:t>
            </w:r>
          </w:p>
        </w:tc>
      </w:tr>
    </w:tbl>
    <w:p w14:paraId="52EC8A8C">
      <w:pPr>
        <w:ind w:firstLine="640" w:firstLineChars="200"/>
        <w:jc w:val="left"/>
        <w:rPr>
          <w:rFonts w:hint="eastAsia" w:ascii="黑体" w:hAnsi="黑体" w:eastAsia="黑体" w:cs="宋体"/>
          <w:bCs/>
          <w:kern w:val="0"/>
          <w:sz w:val="32"/>
          <w:szCs w:val="32"/>
        </w:rPr>
      </w:pPr>
    </w:p>
    <w:p w14:paraId="10E22FA5">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04A794C">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41C46D4">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BD6144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ED4926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C0246F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E6A97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A54341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B5F6F6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742D2A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9996A0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84677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B81A4B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79980B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6EC8E3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C19306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63618B">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8A2082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B20C221">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02C4114E">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6D8A259">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FD8EEFA">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3054B19B">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3C2E5768">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58DC114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D901BED">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6C8C16F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55A8AC0">
      <w:pPr>
        <w:ind w:firstLine="640" w:firstLineChars="200"/>
        <w:rPr>
          <w:rFonts w:ascii="仿宋_GB2312" w:eastAsia="仿宋_GB2312"/>
          <w:sz w:val="32"/>
          <w:szCs w:val="32"/>
        </w:rPr>
      </w:pPr>
    </w:p>
    <w:p w14:paraId="0D89D36D">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6F8F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ABA2CE">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3ABA2CE">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A614D0"/>
    <w:rsid w:val="000A7D8E"/>
    <w:rsid w:val="00213C59"/>
    <w:rsid w:val="002A508F"/>
    <w:rsid w:val="003023BF"/>
    <w:rsid w:val="003210CE"/>
    <w:rsid w:val="0039224C"/>
    <w:rsid w:val="00536575"/>
    <w:rsid w:val="0066348C"/>
    <w:rsid w:val="006A7FD4"/>
    <w:rsid w:val="00886262"/>
    <w:rsid w:val="00887D36"/>
    <w:rsid w:val="00917ED1"/>
    <w:rsid w:val="00936306"/>
    <w:rsid w:val="00A614D0"/>
    <w:rsid w:val="00AC7631"/>
    <w:rsid w:val="00B70D59"/>
    <w:rsid w:val="00D808C7"/>
    <w:rsid w:val="00F52A8D"/>
    <w:rsid w:val="00FB2485"/>
    <w:rsid w:val="019404F8"/>
    <w:rsid w:val="02BD3108"/>
    <w:rsid w:val="02F73D26"/>
    <w:rsid w:val="034D4FEF"/>
    <w:rsid w:val="035D1785"/>
    <w:rsid w:val="039F47CE"/>
    <w:rsid w:val="03E05CE8"/>
    <w:rsid w:val="03F758EE"/>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C85502"/>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407B09"/>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1736AF"/>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4192</Words>
  <Characters>4795</Characters>
  <Lines>54</Lines>
  <Paragraphs>15</Paragraphs>
  <TotalTime>10</TotalTime>
  <ScaleCrop>false</ScaleCrop>
  <LinksUpToDate>false</LinksUpToDate>
  <CharactersWithSpaces>4803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2024-12-04T03:05:46Z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